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25" w:rsidRDefault="00320725">
      <w:pPr>
        <w:rPr>
          <w:b/>
        </w:rPr>
      </w:pPr>
      <w:r>
        <w:rPr>
          <w:b/>
        </w:rPr>
        <w:t>Audit</w:t>
      </w:r>
      <w:r w:rsidR="008641A1">
        <w:rPr>
          <w:b/>
        </w:rPr>
        <w:t xml:space="preserve"> and Governance</w:t>
      </w:r>
      <w:r>
        <w:rPr>
          <w:b/>
        </w:rPr>
        <w:t xml:space="preserve"> Committee</w:t>
      </w:r>
    </w:p>
    <w:p w:rsidR="00320725" w:rsidRDefault="00320725" w:rsidP="00DF5A98">
      <w:r>
        <w:t>Meeting to be held on 2</w:t>
      </w:r>
      <w:r w:rsidR="00011F98">
        <w:t>9</w:t>
      </w:r>
      <w:r w:rsidR="00CB4D1C">
        <w:t xml:space="preserve"> September</w:t>
      </w:r>
      <w:r w:rsidR="00011F98">
        <w:t xml:space="preserve"> 2014</w:t>
      </w:r>
    </w:p>
    <w:p w:rsidR="00320725" w:rsidRDefault="0032072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20725">
        <w:tc>
          <w:tcPr>
            <w:tcW w:w="3260" w:type="dxa"/>
          </w:tcPr>
          <w:p w:rsidR="00320725" w:rsidRDefault="00320725">
            <w:pPr>
              <w:pStyle w:val="BodyText"/>
            </w:pPr>
            <w:r>
              <w:t>Electoral Division affected:</w:t>
            </w:r>
          </w:p>
          <w:p w:rsidR="00320725" w:rsidRDefault="00320725">
            <w:pPr>
              <w:rPr>
                <w:u w:val="single"/>
              </w:rPr>
            </w:pPr>
            <w:r>
              <w:t>All</w:t>
            </w:r>
          </w:p>
        </w:tc>
      </w:tr>
    </w:tbl>
    <w:p w:rsidR="00320725" w:rsidRDefault="00320725">
      <w:pPr>
        <w:rPr>
          <w:u w:val="single"/>
        </w:rPr>
      </w:pPr>
    </w:p>
    <w:p w:rsidR="00DF5A98" w:rsidRDefault="00DF5A98">
      <w:pPr>
        <w:rPr>
          <w:u w:val="single"/>
        </w:rPr>
      </w:pPr>
    </w:p>
    <w:p w:rsidR="00320725" w:rsidRDefault="00CB4D1C">
      <w:pPr>
        <w:rPr>
          <w:b/>
        </w:rPr>
      </w:pPr>
      <w:r>
        <w:rPr>
          <w:b/>
        </w:rPr>
        <w:t>Public Interest Disclosure Act 1998 (Whistleblowing Act) Summary</w:t>
      </w:r>
      <w:r w:rsidR="00EB1522">
        <w:rPr>
          <w:b/>
        </w:rPr>
        <w:t xml:space="preserve"> </w:t>
      </w:r>
      <w:r w:rsidR="00F2275C">
        <w:rPr>
          <w:b/>
        </w:rPr>
        <w:t>201</w:t>
      </w:r>
      <w:r w:rsidR="00011F98">
        <w:rPr>
          <w:b/>
        </w:rPr>
        <w:t>3</w:t>
      </w:r>
      <w:r w:rsidR="00CF2AE5">
        <w:rPr>
          <w:b/>
        </w:rPr>
        <w:t>/</w:t>
      </w:r>
      <w:r w:rsidR="00011F98">
        <w:rPr>
          <w:b/>
        </w:rPr>
        <w:t>14</w:t>
      </w:r>
    </w:p>
    <w:p w:rsidR="00320725" w:rsidRDefault="00CB7E86">
      <w:pPr>
        <w:ind w:left="709" w:hanging="709"/>
      </w:pPr>
      <w:r>
        <w:t>(</w:t>
      </w:r>
      <w:r w:rsidR="00320725">
        <w:t>A</w:t>
      </w:r>
      <w:r w:rsidR="007B435B">
        <w:t xml:space="preserve">ppendix </w:t>
      </w:r>
      <w:r w:rsidR="00320725">
        <w:t>A refers</w:t>
      </w:r>
      <w:r>
        <w:t>)</w:t>
      </w:r>
    </w:p>
    <w:p w:rsidR="00320725" w:rsidRDefault="00320725">
      <w:pPr>
        <w:ind w:left="709" w:hanging="709"/>
        <w:rPr>
          <w:b/>
        </w:rPr>
      </w:pPr>
    </w:p>
    <w:p w:rsidR="00320725" w:rsidRDefault="00320725">
      <w:r>
        <w:t>Contact for further information:</w:t>
      </w:r>
    </w:p>
    <w:p w:rsidR="00320725" w:rsidRDefault="00925E6C">
      <w:r>
        <w:t>Ian Rushworth,</w:t>
      </w:r>
      <w:r w:rsidR="00CB4D1C">
        <w:t xml:space="preserve"> Audit Manager,</w:t>
      </w:r>
      <w:r>
        <w:t xml:space="preserve"> </w:t>
      </w:r>
      <w:r w:rsidR="00F2275C">
        <w:t xml:space="preserve">County Treasurer's </w:t>
      </w:r>
      <w:r w:rsidR="008C7362">
        <w:t>Directorate</w:t>
      </w:r>
      <w:r w:rsidR="00CB4D1C">
        <w:t>, (01772) 534779</w:t>
      </w:r>
    </w:p>
    <w:p w:rsidR="00CB4D1C" w:rsidRDefault="0040083A">
      <w:r>
        <w:t>Katie Dunne, Service Manager (Corporate HR Team</w:t>
      </w:r>
      <w:r w:rsidR="00CB4D1C">
        <w:t>), OCL, (01772) 535355</w:t>
      </w:r>
    </w:p>
    <w:p w:rsidR="00320725" w:rsidRDefault="003207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0725">
        <w:tc>
          <w:tcPr>
            <w:tcW w:w="9180" w:type="dxa"/>
          </w:tcPr>
          <w:p w:rsidR="00320725" w:rsidRDefault="00320725">
            <w:pPr>
              <w:pStyle w:val="Heading6"/>
              <w:keepNext w:val="0"/>
              <w:spacing w:before="120" w:after="120"/>
              <w:rPr>
                <w:rFonts w:ascii="Arial" w:hAnsi="Arial"/>
              </w:rPr>
            </w:pPr>
            <w:r>
              <w:rPr>
                <w:rFonts w:ascii="Arial" w:hAnsi="Arial"/>
              </w:rPr>
              <w:t>Executive Summary</w:t>
            </w:r>
          </w:p>
          <w:p w:rsidR="00CB4D1C" w:rsidRDefault="00CB4D1C">
            <w:pPr>
              <w:spacing w:before="120" w:after="120"/>
            </w:pPr>
            <w:r>
              <w:t xml:space="preserve">This report </w:t>
            </w:r>
            <w:r w:rsidR="0040083A">
              <w:t>summarises the concern</w:t>
            </w:r>
            <w:r>
              <w:t>s dealt with arising from the council's Whistleblowi</w:t>
            </w:r>
            <w:r w:rsidR="0052262F">
              <w:t>n</w:t>
            </w:r>
            <w:r>
              <w:t>g Policy in the previous 12 months.</w:t>
            </w:r>
          </w:p>
          <w:p w:rsidR="00320725" w:rsidRDefault="00320725">
            <w:pPr>
              <w:pStyle w:val="Heading5"/>
              <w:keepNext w:val="0"/>
              <w:spacing w:before="120" w:after="120"/>
              <w:rPr>
                <w:rFonts w:ascii="Arial" w:hAnsi="Arial"/>
                <w:b w:val="0"/>
                <w:u w:val="none"/>
              </w:rPr>
            </w:pPr>
            <w:r>
              <w:rPr>
                <w:rFonts w:ascii="Arial" w:hAnsi="Arial"/>
                <w:u w:val="none"/>
              </w:rPr>
              <w:t>Recommendation</w:t>
            </w:r>
          </w:p>
          <w:p w:rsidR="00320725" w:rsidRDefault="00320725" w:rsidP="00DF5A98">
            <w:pPr>
              <w:spacing w:before="120" w:after="120"/>
            </w:pPr>
            <w:r>
              <w:t xml:space="preserve">The Committee is asked to </w:t>
            </w:r>
            <w:r w:rsidR="00CB4D1C">
              <w:t>note</w:t>
            </w:r>
            <w:r w:rsidR="00DF5A98">
              <w:t xml:space="preserve"> the </w:t>
            </w:r>
            <w:r w:rsidR="00CB4D1C">
              <w:t xml:space="preserve">report. </w:t>
            </w:r>
          </w:p>
        </w:tc>
      </w:tr>
    </w:tbl>
    <w:p w:rsidR="00320725" w:rsidRDefault="00320725">
      <w:pPr>
        <w:pStyle w:val="Header"/>
      </w:pPr>
    </w:p>
    <w:p w:rsidR="00320725" w:rsidRDefault="00320725" w:rsidP="00044612">
      <w:pPr>
        <w:rPr>
          <w:b/>
        </w:rPr>
      </w:pPr>
      <w:r>
        <w:rPr>
          <w:b/>
        </w:rPr>
        <w:t>Background</w:t>
      </w:r>
    </w:p>
    <w:p w:rsidR="00CB4D1C" w:rsidRDefault="00925E6C" w:rsidP="00925E6C">
      <w:pPr>
        <w:tabs>
          <w:tab w:val="num" w:pos="851"/>
        </w:tabs>
        <w:spacing w:before="120" w:after="120"/>
        <w:rPr>
          <w:szCs w:val="24"/>
        </w:rPr>
      </w:pPr>
      <w:r>
        <w:rPr>
          <w:szCs w:val="24"/>
        </w:rPr>
        <w:t>T</w:t>
      </w:r>
      <w:r w:rsidR="00CB4D1C">
        <w:rPr>
          <w:szCs w:val="24"/>
        </w:rPr>
        <w:t>he Public Interest Disclosure Act, 1998, more commonly known as the 'Whistleblowing Act', requires employers to make arrangements which allow their employees to make complaints on serious matters without fear of victimisation</w:t>
      </w:r>
      <w:r w:rsidR="00FF38DA">
        <w:rPr>
          <w:szCs w:val="24"/>
        </w:rPr>
        <w:t>.</w:t>
      </w:r>
    </w:p>
    <w:p w:rsidR="0052262F" w:rsidRDefault="00CB4D1C" w:rsidP="00925E6C">
      <w:pPr>
        <w:tabs>
          <w:tab w:val="num" w:pos="851"/>
        </w:tabs>
        <w:spacing w:before="120" w:after="120"/>
        <w:rPr>
          <w:szCs w:val="24"/>
        </w:rPr>
      </w:pPr>
      <w:r w:rsidRPr="00F65E43">
        <w:rPr>
          <w:szCs w:val="24"/>
        </w:rPr>
        <w:t>The council's Whistleblowing</w:t>
      </w:r>
      <w:r w:rsidR="008641A1" w:rsidRPr="00F65E43">
        <w:rPr>
          <w:szCs w:val="24"/>
        </w:rPr>
        <w:t xml:space="preserve"> Policy was revised</w:t>
      </w:r>
      <w:r w:rsidR="00A23E31">
        <w:rPr>
          <w:szCs w:val="24"/>
        </w:rPr>
        <w:t xml:space="preserve"> in June 2013 to reflect the changes to the UK </w:t>
      </w:r>
      <w:r w:rsidR="00C720D8">
        <w:rPr>
          <w:szCs w:val="24"/>
        </w:rPr>
        <w:t>legislation, primarily which</w:t>
      </w:r>
      <w:r w:rsidR="00A23E31">
        <w:rPr>
          <w:szCs w:val="24"/>
        </w:rPr>
        <w:t xml:space="preserve"> whistleblowers must believe their disclosure is in the public i</w:t>
      </w:r>
      <w:r w:rsidR="0040083A">
        <w:rPr>
          <w:szCs w:val="24"/>
        </w:rPr>
        <w:t>nterest to be protected by the A</w:t>
      </w:r>
      <w:r w:rsidR="00A23E31">
        <w:rPr>
          <w:szCs w:val="24"/>
        </w:rPr>
        <w:t>ct.</w:t>
      </w:r>
      <w:r w:rsidR="008641A1" w:rsidRPr="00F65E43">
        <w:rPr>
          <w:szCs w:val="24"/>
        </w:rPr>
        <w:t xml:space="preserve"> </w:t>
      </w:r>
      <w:r w:rsidRPr="00F65E43">
        <w:rPr>
          <w:szCs w:val="24"/>
        </w:rPr>
        <w:t>The current arrangements</w:t>
      </w:r>
      <w:r>
        <w:rPr>
          <w:szCs w:val="24"/>
        </w:rPr>
        <w:t xml:space="preserve"> for publicising the policy include periodic</w:t>
      </w:r>
      <w:r w:rsidR="00140AEE">
        <w:rPr>
          <w:szCs w:val="24"/>
        </w:rPr>
        <w:t xml:space="preserve"> news items in staff communications</w:t>
      </w:r>
      <w:r>
        <w:rPr>
          <w:szCs w:val="24"/>
        </w:rPr>
        <w:t xml:space="preserve">, the continued display of posters in council buildings and </w:t>
      </w:r>
      <w:r w:rsidR="0052262F">
        <w:rPr>
          <w:szCs w:val="24"/>
        </w:rPr>
        <w:t>the intranet site.</w:t>
      </w:r>
    </w:p>
    <w:p w:rsidR="0052262F" w:rsidRDefault="0040083A" w:rsidP="00925E6C">
      <w:pPr>
        <w:tabs>
          <w:tab w:val="num" w:pos="851"/>
        </w:tabs>
        <w:spacing w:before="120" w:after="120"/>
        <w:rPr>
          <w:szCs w:val="24"/>
        </w:rPr>
      </w:pPr>
      <w:r>
        <w:rPr>
          <w:szCs w:val="24"/>
        </w:rPr>
        <w:t>The w</w:t>
      </w:r>
      <w:r w:rsidR="0052262F">
        <w:rPr>
          <w:szCs w:val="24"/>
        </w:rPr>
        <w:t>histleblowing arrangements do not override other existing statutory complaint arrangements and are only available to employees where serious or potentially serious ma</w:t>
      </w:r>
      <w:r>
        <w:rPr>
          <w:szCs w:val="24"/>
        </w:rPr>
        <w:t>tters</w:t>
      </w:r>
      <w:r w:rsidR="00DF5A98">
        <w:rPr>
          <w:szCs w:val="24"/>
        </w:rPr>
        <w:t xml:space="preserve"> </w:t>
      </w:r>
      <w:r>
        <w:rPr>
          <w:szCs w:val="24"/>
        </w:rPr>
        <w:t>are of concern. Concerns</w:t>
      </w:r>
      <w:r w:rsidR="0052262F">
        <w:rPr>
          <w:szCs w:val="24"/>
        </w:rPr>
        <w:t xml:space="preserve"> are expected to relate to:</w:t>
      </w:r>
    </w:p>
    <w:p w:rsidR="0052262F" w:rsidRPr="0052262F" w:rsidRDefault="0052262F" w:rsidP="0052262F">
      <w:pPr>
        <w:pStyle w:val="ListParagraph"/>
        <w:numPr>
          <w:ilvl w:val="0"/>
          <w:numId w:val="5"/>
        </w:numPr>
        <w:tabs>
          <w:tab w:val="num" w:pos="851"/>
        </w:tabs>
        <w:spacing w:before="120" w:after="120"/>
      </w:pPr>
      <w:r>
        <w:rPr>
          <w:szCs w:val="24"/>
        </w:rPr>
        <w:t>Conduct which is an offence or a breach of law</w:t>
      </w:r>
    </w:p>
    <w:p w:rsidR="0052262F" w:rsidRPr="0052262F" w:rsidRDefault="0052262F" w:rsidP="0052262F">
      <w:pPr>
        <w:pStyle w:val="ListParagraph"/>
        <w:numPr>
          <w:ilvl w:val="0"/>
          <w:numId w:val="5"/>
        </w:numPr>
        <w:tabs>
          <w:tab w:val="num" w:pos="851"/>
        </w:tabs>
        <w:spacing w:before="120" w:after="120"/>
      </w:pPr>
      <w:r>
        <w:rPr>
          <w:szCs w:val="24"/>
        </w:rPr>
        <w:t>Disclosures related to miscarriages of justice</w:t>
      </w:r>
    </w:p>
    <w:p w:rsidR="0052262F" w:rsidRPr="0052262F" w:rsidRDefault="0052262F" w:rsidP="0052262F">
      <w:pPr>
        <w:pStyle w:val="ListParagraph"/>
        <w:numPr>
          <w:ilvl w:val="0"/>
          <w:numId w:val="5"/>
        </w:numPr>
        <w:tabs>
          <w:tab w:val="num" w:pos="851"/>
        </w:tabs>
        <w:spacing w:before="120" w:after="120"/>
      </w:pPr>
      <w:r>
        <w:rPr>
          <w:szCs w:val="24"/>
        </w:rPr>
        <w:t>Health and Safety risks</w:t>
      </w:r>
    </w:p>
    <w:p w:rsidR="0052262F" w:rsidRPr="0052262F" w:rsidRDefault="0052262F" w:rsidP="0052262F">
      <w:pPr>
        <w:pStyle w:val="ListParagraph"/>
        <w:numPr>
          <w:ilvl w:val="0"/>
          <w:numId w:val="5"/>
        </w:numPr>
        <w:tabs>
          <w:tab w:val="num" w:pos="851"/>
        </w:tabs>
        <w:spacing w:before="120" w:after="120"/>
      </w:pPr>
      <w:r>
        <w:rPr>
          <w:szCs w:val="24"/>
        </w:rPr>
        <w:t>Damage to the environment</w:t>
      </w:r>
    </w:p>
    <w:p w:rsidR="0052262F" w:rsidRPr="0052262F" w:rsidRDefault="0052262F" w:rsidP="0052262F">
      <w:pPr>
        <w:pStyle w:val="ListParagraph"/>
        <w:numPr>
          <w:ilvl w:val="0"/>
          <w:numId w:val="5"/>
        </w:numPr>
        <w:tabs>
          <w:tab w:val="num" w:pos="851"/>
        </w:tabs>
        <w:spacing w:before="120" w:after="120"/>
      </w:pPr>
      <w:r>
        <w:rPr>
          <w:szCs w:val="24"/>
        </w:rPr>
        <w:t>Unauthorised use of public funds</w:t>
      </w:r>
    </w:p>
    <w:p w:rsidR="0052262F" w:rsidRPr="0052262F" w:rsidRDefault="0052262F" w:rsidP="0052262F">
      <w:pPr>
        <w:pStyle w:val="ListParagraph"/>
        <w:numPr>
          <w:ilvl w:val="0"/>
          <w:numId w:val="5"/>
        </w:numPr>
        <w:tabs>
          <w:tab w:val="num" w:pos="851"/>
        </w:tabs>
        <w:spacing w:before="120" w:after="120"/>
      </w:pPr>
      <w:r>
        <w:rPr>
          <w:szCs w:val="24"/>
        </w:rPr>
        <w:t>Possible fraud and corruption</w:t>
      </w:r>
    </w:p>
    <w:p w:rsidR="0052262F" w:rsidRPr="0052262F" w:rsidRDefault="0052262F" w:rsidP="0052262F">
      <w:pPr>
        <w:pStyle w:val="ListParagraph"/>
        <w:numPr>
          <w:ilvl w:val="0"/>
          <w:numId w:val="5"/>
        </w:numPr>
        <w:tabs>
          <w:tab w:val="num" w:pos="851"/>
        </w:tabs>
        <w:spacing w:before="120" w:after="120"/>
      </w:pPr>
      <w:r>
        <w:rPr>
          <w:szCs w:val="24"/>
        </w:rPr>
        <w:t>Sexual or physical abuse of clients</w:t>
      </w:r>
    </w:p>
    <w:p w:rsidR="00925E6C" w:rsidRDefault="0052262F" w:rsidP="0052262F">
      <w:pPr>
        <w:pStyle w:val="ListParagraph"/>
        <w:numPr>
          <w:ilvl w:val="0"/>
          <w:numId w:val="5"/>
        </w:numPr>
        <w:tabs>
          <w:tab w:val="num" w:pos="851"/>
        </w:tabs>
        <w:spacing w:before="120" w:after="120"/>
      </w:pPr>
      <w:r>
        <w:rPr>
          <w:szCs w:val="24"/>
        </w:rPr>
        <w:t>Other unethical conduct</w:t>
      </w:r>
      <w:r w:rsidR="00925E6C" w:rsidRPr="0052262F">
        <w:rPr>
          <w:szCs w:val="24"/>
        </w:rPr>
        <w:t xml:space="preserve"> </w:t>
      </w:r>
    </w:p>
    <w:p w:rsidR="00925E6C" w:rsidRDefault="0052262F" w:rsidP="00925E6C">
      <w:pPr>
        <w:tabs>
          <w:tab w:val="num" w:pos="851"/>
        </w:tabs>
        <w:spacing w:before="120" w:after="120"/>
        <w:rPr>
          <w:szCs w:val="24"/>
        </w:rPr>
      </w:pPr>
      <w:r w:rsidRPr="00F65E43">
        <w:rPr>
          <w:szCs w:val="24"/>
        </w:rPr>
        <w:t>In the 12 months since our last report</w:t>
      </w:r>
      <w:r w:rsidR="00011F98" w:rsidRPr="00F65E43">
        <w:rPr>
          <w:szCs w:val="24"/>
        </w:rPr>
        <w:t xml:space="preserve"> in 2013</w:t>
      </w:r>
      <w:r w:rsidR="00260FD0" w:rsidRPr="00F65E43">
        <w:rPr>
          <w:szCs w:val="24"/>
        </w:rPr>
        <w:t xml:space="preserve"> we have received 21</w:t>
      </w:r>
      <w:r w:rsidRPr="00F65E43">
        <w:rPr>
          <w:szCs w:val="24"/>
        </w:rPr>
        <w:t xml:space="preserve"> </w:t>
      </w:r>
      <w:r w:rsidR="0040083A">
        <w:rPr>
          <w:szCs w:val="24"/>
        </w:rPr>
        <w:t>concern</w:t>
      </w:r>
      <w:r w:rsidR="008641A1" w:rsidRPr="00F65E43">
        <w:rPr>
          <w:szCs w:val="24"/>
        </w:rPr>
        <w:t>s</w:t>
      </w:r>
      <w:r w:rsidR="00F65E43" w:rsidRPr="00F65E43">
        <w:rPr>
          <w:szCs w:val="24"/>
        </w:rPr>
        <w:t xml:space="preserve"> (same number as the previous 12 months)</w:t>
      </w:r>
      <w:r w:rsidR="008641A1" w:rsidRPr="00F65E43">
        <w:rPr>
          <w:szCs w:val="24"/>
        </w:rPr>
        <w:t xml:space="preserve"> which fall under the whistleblowing</w:t>
      </w:r>
      <w:r w:rsidRPr="00F65E43">
        <w:rPr>
          <w:szCs w:val="24"/>
        </w:rPr>
        <w:t xml:space="preserve"> policy</w:t>
      </w:r>
      <w:r w:rsidR="00FF38DA" w:rsidRPr="00F65E43">
        <w:rPr>
          <w:szCs w:val="24"/>
        </w:rPr>
        <w:t>.</w:t>
      </w:r>
      <w:r w:rsidR="0040083A">
        <w:rPr>
          <w:szCs w:val="24"/>
        </w:rPr>
        <w:t xml:space="preserve"> Details of these concerns are provided</w:t>
      </w:r>
      <w:r w:rsidRPr="00F65E43">
        <w:rPr>
          <w:szCs w:val="24"/>
        </w:rPr>
        <w:t xml:space="preserve"> at Appendix A. </w:t>
      </w:r>
    </w:p>
    <w:p w:rsidR="008B0993" w:rsidRPr="00B17D0E" w:rsidRDefault="0052262F" w:rsidP="00CB7E86">
      <w:pPr>
        <w:rPr>
          <w:rFonts w:cs="Arial"/>
          <w:color w:val="000000"/>
          <w:szCs w:val="24"/>
        </w:rPr>
      </w:pPr>
      <w:r>
        <w:rPr>
          <w:szCs w:val="24"/>
        </w:rPr>
        <w:lastRenderedPageBreak/>
        <w:t xml:space="preserve">Whistleblowers are directed to either the council's </w:t>
      </w:r>
      <w:r w:rsidR="00925E6C">
        <w:rPr>
          <w:szCs w:val="24"/>
        </w:rPr>
        <w:t>Internal Audit Se</w:t>
      </w:r>
      <w:r w:rsidR="00925E6C" w:rsidRPr="00CF2863">
        <w:rPr>
          <w:szCs w:val="24"/>
        </w:rPr>
        <w:t>rvice</w:t>
      </w:r>
      <w:r w:rsidR="0040083A">
        <w:rPr>
          <w:szCs w:val="24"/>
        </w:rPr>
        <w:t xml:space="preserve"> for concern</w:t>
      </w:r>
      <w:r>
        <w:rPr>
          <w:szCs w:val="24"/>
        </w:rPr>
        <w:t>s with a financial implication or</w:t>
      </w:r>
      <w:r w:rsidR="00DF5A98">
        <w:rPr>
          <w:szCs w:val="24"/>
        </w:rPr>
        <w:t xml:space="preserve"> </w:t>
      </w:r>
      <w:bookmarkStart w:id="0" w:name="_GoBack"/>
      <w:bookmarkEnd w:id="0"/>
      <w:r>
        <w:rPr>
          <w:szCs w:val="24"/>
        </w:rPr>
        <w:t xml:space="preserve"> to the council's Human Resour</w:t>
      </w:r>
      <w:r w:rsidR="0040083A">
        <w:rPr>
          <w:szCs w:val="24"/>
        </w:rPr>
        <w:t>ces Service for other concerns</w:t>
      </w:r>
      <w:r>
        <w:rPr>
          <w:szCs w:val="24"/>
        </w:rPr>
        <w:t xml:space="preserve">. </w:t>
      </w:r>
      <w:r w:rsidR="00140AEE">
        <w:rPr>
          <w:szCs w:val="24"/>
        </w:rPr>
        <w:t>12 of the 21 whistleblowing</w:t>
      </w:r>
      <w:r w:rsidR="0040083A">
        <w:rPr>
          <w:szCs w:val="24"/>
        </w:rPr>
        <w:t xml:space="preserve"> concern</w:t>
      </w:r>
      <w:r w:rsidR="00140AEE">
        <w:rPr>
          <w:szCs w:val="24"/>
        </w:rPr>
        <w:t>s had a financial implication.</w:t>
      </w:r>
    </w:p>
    <w:p w:rsidR="00101D36" w:rsidRDefault="00101D36">
      <w:pPr>
        <w:rPr>
          <w:b/>
        </w:rPr>
      </w:pPr>
    </w:p>
    <w:p w:rsidR="00320725" w:rsidRDefault="00320725"/>
    <w:p w:rsidR="00320725" w:rsidRDefault="00566AE5">
      <w:pPr>
        <w:rPr>
          <w:b/>
        </w:rPr>
      </w:pPr>
      <w:r>
        <w:rPr>
          <w:b/>
        </w:rPr>
        <w:t>Consultations</w:t>
      </w:r>
    </w:p>
    <w:p w:rsidR="00320725" w:rsidRDefault="00320725">
      <w:r>
        <w:t>Not applicable.</w:t>
      </w:r>
    </w:p>
    <w:p w:rsidR="00320725" w:rsidRDefault="00320725"/>
    <w:p w:rsidR="00320725" w:rsidRDefault="00566AE5">
      <w:pPr>
        <w:rPr>
          <w:b/>
        </w:rPr>
      </w:pPr>
      <w:r>
        <w:rPr>
          <w:b/>
        </w:rPr>
        <w:t>Implications</w:t>
      </w:r>
    </w:p>
    <w:p w:rsidR="00320725" w:rsidRDefault="00320725">
      <w:r>
        <w:t>Not applicable.</w:t>
      </w:r>
    </w:p>
    <w:p w:rsidR="00320725" w:rsidRDefault="00320725"/>
    <w:p w:rsidR="00566AE5" w:rsidRDefault="00566AE5" w:rsidP="00566AE5">
      <w:pPr>
        <w:rPr>
          <w:b/>
        </w:rPr>
      </w:pPr>
      <w:r>
        <w:rPr>
          <w:b/>
        </w:rPr>
        <w:t>Risk management</w:t>
      </w:r>
    </w:p>
    <w:p w:rsidR="0079536E" w:rsidRDefault="00925E6C" w:rsidP="0079536E">
      <w:pPr>
        <w:spacing w:after="120"/>
      </w:pPr>
      <w:r>
        <w:t>Not applicable</w:t>
      </w:r>
      <w:r w:rsidR="0079536E">
        <w:t>.</w:t>
      </w:r>
    </w:p>
    <w:p w:rsidR="00320725" w:rsidRDefault="00320725"/>
    <w:p w:rsidR="0079536E" w:rsidRDefault="0079536E"/>
    <w:p w:rsidR="00320725" w:rsidRDefault="00320725">
      <w:pPr>
        <w:pStyle w:val="Heading5"/>
        <w:rPr>
          <w:rFonts w:ascii="Arial" w:hAnsi="Arial"/>
          <w:u w:val="none"/>
        </w:rPr>
      </w:pPr>
      <w:r>
        <w:rPr>
          <w:rFonts w:ascii="Arial" w:hAnsi="Arial"/>
          <w:u w:val="none"/>
        </w:rPr>
        <w:t>Local Government (Access to Information) Act 1985</w:t>
      </w:r>
    </w:p>
    <w:p w:rsidR="00320725" w:rsidRDefault="00320725">
      <w:pPr>
        <w:pStyle w:val="Heading5"/>
        <w:rPr>
          <w:rFonts w:ascii="Arial" w:hAnsi="Arial"/>
          <w:u w:val="none"/>
        </w:rPr>
      </w:pPr>
      <w:r>
        <w:rPr>
          <w:rFonts w:ascii="Arial" w:hAnsi="Arial"/>
          <w:u w:val="none"/>
        </w:rPr>
        <w:t>List of Background Papers</w:t>
      </w:r>
    </w:p>
    <w:p w:rsidR="00CB7E86" w:rsidRDefault="00CB7E86"/>
    <w:tbl>
      <w:tblPr>
        <w:tblW w:w="9322" w:type="dxa"/>
        <w:tblLayout w:type="fixed"/>
        <w:tblLook w:val="0000" w:firstRow="0" w:lastRow="0" w:firstColumn="0" w:lastColumn="0" w:noHBand="0" w:noVBand="0"/>
      </w:tblPr>
      <w:tblGrid>
        <w:gridCol w:w="5211"/>
        <w:gridCol w:w="1276"/>
        <w:gridCol w:w="2835"/>
      </w:tblGrid>
      <w:tr w:rsidR="00320725">
        <w:tc>
          <w:tcPr>
            <w:tcW w:w="5211" w:type="dxa"/>
          </w:tcPr>
          <w:p w:rsidR="00320725" w:rsidRDefault="00320725" w:rsidP="0040083A">
            <w:pPr>
              <w:pStyle w:val="Heading7"/>
              <w:ind w:left="-108"/>
              <w:rPr>
                <w:rFonts w:ascii="Arial" w:hAnsi="Arial"/>
                <w:u w:val="none"/>
              </w:rPr>
            </w:pPr>
            <w:r>
              <w:rPr>
                <w:u w:val="none"/>
              </w:rPr>
              <w:t>Paper</w:t>
            </w:r>
          </w:p>
        </w:tc>
        <w:tc>
          <w:tcPr>
            <w:tcW w:w="1276" w:type="dxa"/>
          </w:tcPr>
          <w:p w:rsidR="00320725" w:rsidRDefault="00320725">
            <w:pPr>
              <w:pStyle w:val="Heading7"/>
              <w:rPr>
                <w:rFonts w:ascii="Arial" w:hAnsi="Arial"/>
                <w:u w:val="none"/>
              </w:rPr>
            </w:pPr>
            <w:r>
              <w:rPr>
                <w:rFonts w:ascii="Arial" w:hAnsi="Arial"/>
                <w:u w:val="none"/>
              </w:rPr>
              <w:t>Date</w:t>
            </w:r>
          </w:p>
        </w:tc>
        <w:tc>
          <w:tcPr>
            <w:tcW w:w="2835" w:type="dxa"/>
          </w:tcPr>
          <w:p w:rsidR="00320725" w:rsidRDefault="00CB7E86">
            <w:pPr>
              <w:pStyle w:val="Heading7"/>
              <w:rPr>
                <w:rFonts w:ascii="Arial" w:hAnsi="Arial"/>
                <w:u w:val="none"/>
              </w:rPr>
            </w:pPr>
            <w:r>
              <w:rPr>
                <w:rFonts w:ascii="Arial" w:hAnsi="Arial"/>
                <w:u w:val="none"/>
              </w:rPr>
              <w:t xml:space="preserve">Contact/Directorate/Ext </w:t>
            </w:r>
          </w:p>
        </w:tc>
      </w:tr>
      <w:tr w:rsidR="00320725">
        <w:tc>
          <w:tcPr>
            <w:tcW w:w="9322" w:type="dxa"/>
            <w:gridSpan w:val="3"/>
          </w:tcPr>
          <w:p w:rsidR="00CB7E86" w:rsidRDefault="00320725" w:rsidP="0040083A">
            <w:pPr>
              <w:spacing w:before="240"/>
              <w:ind w:left="-108"/>
            </w:pPr>
            <w:r>
              <w:t xml:space="preserve">Reason for inclusion in Part II, if appropriate: </w:t>
            </w:r>
          </w:p>
          <w:p w:rsidR="00320725" w:rsidRDefault="00320725">
            <w:pPr>
              <w:spacing w:before="240"/>
            </w:pPr>
          </w:p>
        </w:tc>
      </w:tr>
    </w:tbl>
    <w:p w:rsidR="00320725" w:rsidRDefault="00320725"/>
    <w:p w:rsidR="00320725" w:rsidRDefault="00320725"/>
    <w:p w:rsidR="00320725" w:rsidRDefault="00320725"/>
    <w:sectPr w:rsidR="00320725" w:rsidSect="003D50CA">
      <w:footerReference w:type="default" r:id="rId8"/>
      <w:footerReference w:type="first" r:id="rId9"/>
      <w:type w:val="continuous"/>
      <w:pgSz w:w="11907" w:h="16840" w:code="9"/>
      <w:pgMar w:top="1440"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81" w:rsidRDefault="00872381">
      <w:r>
        <w:separator/>
      </w:r>
    </w:p>
  </w:endnote>
  <w:endnote w:type="continuationSeparator" w:id="0">
    <w:p w:rsidR="00872381" w:rsidRDefault="008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81" w:rsidRDefault="0087238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72381">
      <w:tc>
        <w:tcPr>
          <w:tcW w:w="9180" w:type="dxa"/>
          <w:tcBorders>
            <w:top w:val="nil"/>
            <w:left w:val="nil"/>
            <w:bottom w:val="nil"/>
            <w:right w:val="nil"/>
          </w:tcBorders>
        </w:tcPr>
        <w:p w:rsidR="00872381" w:rsidRDefault="00872381">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872381" w:rsidRDefault="00872381">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81" w:rsidRDefault="00872381">
      <w:r>
        <w:separator/>
      </w:r>
    </w:p>
  </w:footnote>
  <w:footnote w:type="continuationSeparator" w:id="0">
    <w:p w:rsidR="00872381" w:rsidRDefault="0087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85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06564F"/>
    <w:multiLevelType w:val="hybridMultilevel"/>
    <w:tmpl w:val="80CED77C"/>
    <w:lvl w:ilvl="0" w:tplc="2E84F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04DC0"/>
    <w:multiLevelType w:val="hybridMultilevel"/>
    <w:tmpl w:val="752472CA"/>
    <w:lvl w:ilvl="0" w:tplc="CF0E0A6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41626B9"/>
    <w:multiLevelType w:val="multilevel"/>
    <w:tmpl w:val="E424C662"/>
    <w:lvl w:ilvl="0">
      <w:start w:val="1"/>
      <w:numFmt w:val="decimal"/>
      <w:lvlText w:val="%1."/>
      <w:lvlJc w:val="left"/>
      <w:pPr>
        <w:tabs>
          <w:tab w:val="num" w:pos="992"/>
        </w:tabs>
        <w:ind w:left="992" w:hanging="992"/>
      </w:pPr>
      <w:rPr>
        <w:rFonts w:hint="default"/>
        <w:sz w:val="28"/>
      </w:rPr>
    </w:lvl>
    <w:lvl w:ilvl="1">
      <w:start w:val="1"/>
      <w:numFmt w:val="decimal"/>
      <w:lvlText w:val="%1.%2."/>
      <w:lvlJc w:val="left"/>
      <w:pPr>
        <w:tabs>
          <w:tab w:val="num" w:pos="992"/>
        </w:tabs>
        <w:ind w:left="992" w:hanging="992"/>
      </w:pPr>
      <w:rPr>
        <w:rFonts w:hint="default"/>
        <w:b w:val="0"/>
        <w:i w:val="0"/>
      </w:rPr>
    </w:lvl>
    <w:lvl w:ilvl="2">
      <w:start w:val="1"/>
      <w:numFmt w:val="decimal"/>
      <w:lvlText w:val="%1.%2.%3."/>
      <w:lvlJc w:val="left"/>
      <w:pPr>
        <w:tabs>
          <w:tab w:val="num" w:pos="0"/>
        </w:tabs>
        <w:ind w:left="0" w:firstLine="0"/>
      </w:pPr>
      <w:rPr>
        <w:rFonts w:hint="default"/>
      </w:rPr>
    </w:lvl>
    <w:lvl w:ilvl="3">
      <w:start w:val="1"/>
      <w:numFmt w:val="lowerRoman"/>
      <w:lvlText w:val="(%4)"/>
      <w:lvlJc w:val="left"/>
      <w:pPr>
        <w:tabs>
          <w:tab w:val="num" w:pos="0"/>
        </w:tabs>
        <w:ind w:left="0" w:firstLine="0"/>
      </w:pPr>
      <w:rPr>
        <w:rFonts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4">
    <w:nsid w:val="77AC498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EA"/>
    <w:rsid w:val="00011F98"/>
    <w:rsid w:val="00044612"/>
    <w:rsid w:val="000B40D6"/>
    <w:rsid w:val="00101D36"/>
    <w:rsid w:val="00140AEE"/>
    <w:rsid w:val="00191BEA"/>
    <w:rsid w:val="00210BDE"/>
    <w:rsid w:val="00227207"/>
    <w:rsid w:val="002417C8"/>
    <w:rsid w:val="00254BB5"/>
    <w:rsid w:val="00260FD0"/>
    <w:rsid w:val="00263D78"/>
    <w:rsid w:val="00293858"/>
    <w:rsid w:val="002B1024"/>
    <w:rsid w:val="002B19E8"/>
    <w:rsid w:val="002D43FB"/>
    <w:rsid w:val="00320725"/>
    <w:rsid w:val="00377C82"/>
    <w:rsid w:val="00380D3E"/>
    <w:rsid w:val="00397094"/>
    <w:rsid w:val="003C2C5F"/>
    <w:rsid w:val="003C2F8E"/>
    <w:rsid w:val="003D50CA"/>
    <w:rsid w:val="0040083A"/>
    <w:rsid w:val="0044777C"/>
    <w:rsid w:val="00493112"/>
    <w:rsid w:val="0050764C"/>
    <w:rsid w:val="0052262F"/>
    <w:rsid w:val="00564804"/>
    <w:rsid w:val="00566308"/>
    <w:rsid w:val="00566AE5"/>
    <w:rsid w:val="005A7132"/>
    <w:rsid w:val="005E4052"/>
    <w:rsid w:val="00677988"/>
    <w:rsid w:val="00734E4B"/>
    <w:rsid w:val="0079536E"/>
    <w:rsid w:val="007A36E6"/>
    <w:rsid w:val="007B435B"/>
    <w:rsid w:val="008641A1"/>
    <w:rsid w:val="00872381"/>
    <w:rsid w:val="00873231"/>
    <w:rsid w:val="00882BA0"/>
    <w:rsid w:val="00893E21"/>
    <w:rsid w:val="008B0993"/>
    <w:rsid w:val="008B3CB4"/>
    <w:rsid w:val="008C7362"/>
    <w:rsid w:val="008D43C6"/>
    <w:rsid w:val="008F1705"/>
    <w:rsid w:val="00900452"/>
    <w:rsid w:val="00925E6C"/>
    <w:rsid w:val="009344A8"/>
    <w:rsid w:val="00937175"/>
    <w:rsid w:val="00945BCB"/>
    <w:rsid w:val="009D7DF1"/>
    <w:rsid w:val="00A07050"/>
    <w:rsid w:val="00A23E31"/>
    <w:rsid w:val="00A25010"/>
    <w:rsid w:val="00A42952"/>
    <w:rsid w:val="00AC5A9B"/>
    <w:rsid w:val="00B17D0E"/>
    <w:rsid w:val="00BA3144"/>
    <w:rsid w:val="00BB3A17"/>
    <w:rsid w:val="00C720D8"/>
    <w:rsid w:val="00CB4D1C"/>
    <w:rsid w:val="00CB7E86"/>
    <w:rsid w:val="00CF2AE5"/>
    <w:rsid w:val="00CF51C9"/>
    <w:rsid w:val="00D23BFF"/>
    <w:rsid w:val="00DF5A98"/>
    <w:rsid w:val="00E23BB8"/>
    <w:rsid w:val="00E93297"/>
    <w:rsid w:val="00EB1522"/>
    <w:rsid w:val="00EE51D9"/>
    <w:rsid w:val="00F12ED6"/>
    <w:rsid w:val="00F2275C"/>
    <w:rsid w:val="00F65E43"/>
    <w:rsid w:val="00F92AEE"/>
    <w:rsid w:val="00FF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CA"/>
    <w:rPr>
      <w:rFonts w:ascii="Arial" w:hAnsi="Arial"/>
      <w:sz w:val="24"/>
    </w:rPr>
  </w:style>
  <w:style w:type="paragraph" w:styleId="Heading1">
    <w:name w:val="heading 1"/>
    <w:basedOn w:val="Normal"/>
    <w:next w:val="Normal"/>
    <w:qFormat/>
    <w:rsid w:val="003D50CA"/>
    <w:pPr>
      <w:keepNext/>
      <w:outlineLvl w:val="0"/>
    </w:pPr>
    <w:rPr>
      <w:b/>
    </w:rPr>
  </w:style>
  <w:style w:type="paragraph" w:styleId="Heading2">
    <w:name w:val="heading 2"/>
    <w:basedOn w:val="Normal"/>
    <w:next w:val="Normal"/>
    <w:qFormat/>
    <w:rsid w:val="003D50CA"/>
    <w:pPr>
      <w:keepNext/>
      <w:spacing w:before="240" w:after="60"/>
      <w:outlineLvl w:val="1"/>
    </w:pPr>
    <w:rPr>
      <w:rFonts w:cs="Arial"/>
      <w:b/>
      <w:bCs/>
      <w:i/>
      <w:iCs/>
      <w:sz w:val="28"/>
      <w:szCs w:val="28"/>
    </w:rPr>
  </w:style>
  <w:style w:type="paragraph" w:styleId="Heading3">
    <w:name w:val="heading 3"/>
    <w:basedOn w:val="Normal"/>
    <w:next w:val="Normal"/>
    <w:qFormat/>
    <w:rsid w:val="003D50CA"/>
    <w:pPr>
      <w:keepNext/>
      <w:spacing w:before="240" w:after="60"/>
      <w:outlineLvl w:val="2"/>
    </w:pPr>
    <w:rPr>
      <w:rFonts w:cs="Arial"/>
      <w:b/>
      <w:bCs/>
      <w:sz w:val="26"/>
      <w:szCs w:val="26"/>
    </w:rPr>
  </w:style>
  <w:style w:type="paragraph" w:styleId="Heading5">
    <w:name w:val="heading 5"/>
    <w:basedOn w:val="Normal"/>
    <w:next w:val="Normal"/>
    <w:qFormat/>
    <w:rsid w:val="003D50CA"/>
    <w:pPr>
      <w:keepNext/>
      <w:outlineLvl w:val="4"/>
    </w:pPr>
    <w:rPr>
      <w:rFonts w:ascii="Univers" w:hAnsi="Univers"/>
      <w:b/>
      <w:u w:val="single"/>
    </w:rPr>
  </w:style>
  <w:style w:type="paragraph" w:styleId="Heading6">
    <w:name w:val="heading 6"/>
    <w:basedOn w:val="Normal"/>
    <w:next w:val="Normal"/>
    <w:qFormat/>
    <w:rsid w:val="003D50CA"/>
    <w:pPr>
      <w:keepNext/>
      <w:outlineLvl w:val="5"/>
    </w:pPr>
    <w:rPr>
      <w:rFonts w:ascii="Univers" w:hAnsi="Univers"/>
      <w:b/>
    </w:rPr>
  </w:style>
  <w:style w:type="paragraph" w:styleId="Heading7">
    <w:name w:val="heading 7"/>
    <w:basedOn w:val="Normal"/>
    <w:next w:val="Normal"/>
    <w:qFormat/>
    <w:rsid w:val="003D50C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0CA"/>
  </w:style>
  <w:style w:type="paragraph" w:customStyle="1" w:styleId="arial11">
    <w:name w:val="arial11"/>
    <w:basedOn w:val="Normal"/>
    <w:rsid w:val="003D50CA"/>
  </w:style>
  <w:style w:type="paragraph" w:styleId="BodyText">
    <w:name w:val="Body Text"/>
    <w:basedOn w:val="Normal"/>
    <w:rsid w:val="003D50CA"/>
  </w:style>
  <w:style w:type="paragraph" w:styleId="Footer">
    <w:name w:val="footer"/>
    <w:basedOn w:val="Normal"/>
    <w:rsid w:val="003D50CA"/>
    <w:pPr>
      <w:tabs>
        <w:tab w:val="center" w:pos="4153"/>
        <w:tab w:val="right" w:pos="8306"/>
      </w:tabs>
    </w:pPr>
  </w:style>
  <w:style w:type="character" w:styleId="PageNumber">
    <w:name w:val="page number"/>
    <w:basedOn w:val="DefaultParagraphFont"/>
    <w:rsid w:val="003D50CA"/>
  </w:style>
  <w:style w:type="table" w:styleId="TableGrid">
    <w:name w:val="Table Grid"/>
    <w:basedOn w:val="TableNormal"/>
    <w:rsid w:val="003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50CA"/>
    <w:rPr>
      <w:rFonts w:ascii="Tahoma" w:hAnsi="Tahoma" w:cs="Tahoma"/>
      <w:sz w:val="16"/>
      <w:szCs w:val="16"/>
    </w:rPr>
  </w:style>
  <w:style w:type="paragraph" w:customStyle="1" w:styleId="Default">
    <w:name w:val="Default"/>
    <w:rsid w:val="00B17D0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01D36"/>
    <w:pPr>
      <w:spacing w:line="191" w:lineRule="atLeast"/>
    </w:pPr>
    <w:rPr>
      <w:rFonts w:ascii="Verdana" w:hAnsi="Verdana" w:cs="Times New Roman"/>
      <w:color w:val="auto"/>
    </w:rPr>
  </w:style>
  <w:style w:type="paragraph" w:customStyle="1" w:styleId="Pa8">
    <w:name w:val="Pa8"/>
    <w:basedOn w:val="Default"/>
    <w:next w:val="Default"/>
    <w:uiPriority w:val="99"/>
    <w:rsid w:val="00101D36"/>
    <w:pPr>
      <w:spacing w:line="191" w:lineRule="atLeast"/>
    </w:pPr>
    <w:rPr>
      <w:rFonts w:ascii="Verdana" w:hAnsi="Verdana" w:cs="Times New Roman"/>
      <w:color w:val="auto"/>
    </w:rPr>
  </w:style>
  <w:style w:type="paragraph" w:styleId="ListParagraph">
    <w:name w:val="List Paragraph"/>
    <w:basedOn w:val="Normal"/>
    <w:uiPriority w:val="34"/>
    <w:qFormat/>
    <w:rsid w:val="00522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CA"/>
    <w:rPr>
      <w:rFonts w:ascii="Arial" w:hAnsi="Arial"/>
      <w:sz w:val="24"/>
    </w:rPr>
  </w:style>
  <w:style w:type="paragraph" w:styleId="Heading1">
    <w:name w:val="heading 1"/>
    <w:basedOn w:val="Normal"/>
    <w:next w:val="Normal"/>
    <w:qFormat/>
    <w:rsid w:val="003D50CA"/>
    <w:pPr>
      <w:keepNext/>
      <w:outlineLvl w:val="0"/>
    </w:pPr>
    <w:rPr>
      <w:b/>
    </w:rPr>
  </w:style>
  <w:style w:type="paragraph" w:styleId="Heading2">
    <w:name w:val="heading 2"/>
    <w:basedOn w:val="Normal"/>
    <w:next w:val="Normal"/>
    <w:qFormat/>
    <w:rsid w:val="003D50CA"/>
    <w:pPr>
      <w:keepNext/>
      <w:spacing w:before="240" w:after="60"/>
      <w:outlineLvl w:val="1"/>
    </w:pPr>
    <w:rPr>
      <w:rFonts w:cs="Arial"/>
      <w:b/>
      <w:bCs/>
      <w:i/>
      <w:iCs/>
      <w:sz w:val="28"/>
      <w:szCs w:val="28"/>
    </w:rPr>
  </w:style>
  <w:style w:type="paragraph" w:styleId="Heading3">
    <w:name w:val="heading 3"/>
    <w:basedOn w:val="Normal"/>
    <w:next w:val="Normal"/>
    <w:qFormat/>
    <w:rsid w:val="003D50CA"/>
    <w:pPr>
      <w:keepNext/>
      <w:spacing w:before="240" w:after="60"/>
      <w:outlineLvl w:val="2"/>
    </w:pPr>
    <w:rPr>
      <w:rFonts w:cs="Arial"/>
      <w:b/>
      <w:bCs/>
      <w:sz w:val="26"/>
      <w:szCs w:val="26"/>
    </w:rPr>
  </w:style>
  <w:style w:type="paragraph" w:styleId="Heading5">
    <w:name w:val="heading 5"/>
    <w:basedOn w:val="Normal"/>
    <w:next w:val="Normal"/>
    <w:qFormat/>
    <w:rsid w:val="003D50CA"/>
    <w:pPr>
      <w:keepNext/>
      <w:outlineLvl w:val="4"/>
    </w:pPr>
    <w:rPr>
      <w:rFonts w:ascii="Univers" w:hAnsi="Univers"/>
      <w:b/>
      <w:u w:val="single"/>
    </w:rPr>
  </w:style>
  <w:style w:type="paragraph" w:styleId="Heading6">
    <w:name w:val="heading 6"/>
    <w:basedOn w:val="Normal"/>
    <w:next w:val="Normal"/>
    <w:qFormat/>
    <w:rsid w:val="003D50CA"/>
    <w:pPr>
      <w:keepNext/>
      <w:outlineLvl w:val="5"/>
    </w:pPr>
    <w:rPr>
      <w:rFonts w:ascii="Univers" w:hAnsi="Univers"/>
      <w:b/>
    </w:rPr>
  </w:style>
  <w:style w:type="paragraph" w:styleId="Heading7">
    <w:name w:val="heading 7"/>
    <w:basedOn w:val="Normal"/>
    <w:next w:val="Normal"/>
    <w:qFormat/>
    <w:rsid w:val="003D50C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0CA"/>
  </w:style>
  <w:style w:type="paragraph" w:customStyle="1" w:styleId="arial11">
    <w:name w:val="arial11"/>
    <w:basedOn w:val="Normal"/>
    <w:rsid w:val="003D50CA"/>
  </w:style>
  <w:style w:type="paragraph" w:styleId="BodyText">
    <w:name w:val="Body Text"/>
    <w:basedOn w:val="Normal"/>
    <w:rsid w:val="003D50CA"/>
  </w:style>
  <w:style w:type="paragraph" w:styleId="Footer">
    <w:name w:val="footer"/>
    <w:basedOn w:val="Normal"/>
    <w:rsid w:val="003D50CA"/>
    <w:pPr>
      <w:tabs>
        <w:tab w:val="center" w:pos="4153"/>
        <w:tab w:val="right" w:pos="8306"/>
      </w:tabs>
    </w:pPr>
  </w:style>
  <w:style w:type="character" w:styleId="PageNumber">
    <w:name w:val="page number"/>
    <w:basedOn w:val="DefaultParagraphFont"/>
    <w:rsid w:val="003D50CA"/>
  </w:style>
  <w:style w:type="table" w:styleId="TableGrid">
    <w:name w:val="Table Grid"/>
    <w:basedOn w:val="TableNormal"/>
    <w:rsid w:val="003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50CA"/>
    <w:rPr>
      <w:rFonts w:ascii="Tahoma" w:hAnsi="Tahoma" w:cs="Tahoma"/>
      <w:sz w:val="16"/>
      <w:szCs w:val="16"/>
    </w:rPr>
  </w:style>
  <w:style w:type="paragraph" w:customStyle="1" w:styleId="Default">
    <w:name w:val="Default"/>
    <w:rsid w:val="00B17D0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01D36"/>
    <w:pPr>
      <w:spacing w:line="191" w:lineRule="atLeast"/>
    </w:pPr>
    <w:rPr>
      <w:rFonts w:ascii="Verdana" w:hAnsi="Verdana" w:cs="Times New Roman"/>
      <w:color w:val="auto"/>
    </w:rPr>
  </w:style>
  <w:style w:type="paragraph" w:customStyle="1" w:styleId="Pa8">
    <w:name w:val="Pa8"/>
    <w:basedOn w:val="Default"/>
    <w:next w:val="Default"/>
    <w:uiPriority w:val="99"/>
    <w:rsid w:val="00101D36"/>
    <w:pPr>
      <w:spacing w:line="191" w:lineRule="atLeast"/>
    </w:pPr>
    <w:rPr>
      <w:rFonts w:ascii="Verdana" w:hAnsi="Verdana" w:cs="Times New Roman"/>
      <w:color w:val="auto"/>
    </w:rPr>
  </w:style>
  <w:style w:type="paragraph" w:styleId="ListParagraph">
    <w:name w:val="List Paragraph"/>
    <w:basedOn w:val="Normal"/>
    <w:uiPriority w:val="34"/>
    <w:qFormat/>
    <w:rsid w:val="0052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2</Pages>
  <Words>361</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rdmcm</dc:creator>
  <dc:description>8 December 2003</dc:description>
  <cp:lastModifiedBy>Rawcliffe, Cath</cp:lastModifiedBy>
  <cp:revision>2</cp:revision>
  <cp:lastPrinted>2014-09-09T09:20:00Z</cp:lastPrinted>
  <dcterms:created xsi:type="dcterms:W3CDTF">2014-09-18T18:12:00Z</dcterms:created>
  <dcterms:modified xsi:type="dcterms:W3CDTF">2014-09-18T18:12:00Z</dcterms:modified>
</cp:coreProperties>
</file>